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60"/>
          <w:szCs w:val="60"/>
        </w:rPr>
      </w:pPr>
      <w:hyperlink r:id="rId7">
        <w:r w:rsidDel="00000000" w:rsidR="00000000" w:rsidRPr="00000000">
          <w:rPr>
            <w:b w:val="1"/>
            <w:color w:val="1155cc"/>
            <w:sz w:val="60"/>
            <w:szCs w:val="60"/>
            <w:u w:val="single"/>
            <w:rtl w:val="0"/>
          </w:rPr>
          <w:t xml:space="preserve">ENTER 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</w:rPr>
        <w:drawing>
          <wp:inline distB="114300" distT="114300" distL="114300" distR="114300">
            <wp:extent cx="5731200" cy="5727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unsubscribe-https://vestildas.work/uns/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vestildas.work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q8R92QcjI1cFmu/5wVZcYMILLw==">AMUW2mUk8kkZXDTlJdq6LMzh8CySmNZCrR29hqonoS9Ufb7dcnDqpjDt67b+h+sk6W5CcoYjoarvk8sA50I+diLvQ4iNHBVqSBllbvMZphXfq45U4bnMXME=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